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emf" ContentType="image/x-emf"/>
  <Override PartName="/word/embeddings/oleObject1.xlsx" ContentType="application/vnd.openxmlformats-officedocument.spreadsheetml.sheet"/>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Estimates on Letter and Character Frequency in a CW Contact (QSO)</w:t>
      </w:r>
    </w:p>
    <w:p>
      <w:pPr>
        <w:pStyle w:val="Normal"/>
        <w:jc w:val="center"/>
        <w:rPr>
          <w:b/>
          <w:b/>
          <w:bCs/>
        </w:rPr>
      </w:pPr>
      <w:r>
        <w:rPr>
          <w:b/>
          <w:bCs/>
        </w:rPr>
      </w:r>
    </w:p>
    <w:p>
      <w:pPr>
        <w:pStyle w:val="Normal"/>
        <w:jc w:val="left"/>
        <w:rPr/>
      </w:pPr>
      <w:r>
        <w:rPr>
          <w:b w:val="false"/>
          <w:bCs w:val="false"/>
        </w:rPr>
        <w:t xml:space="preserve">This is prepared for generation of data for machine learning of Morse Code for decoding CW using a skimmer or using Basian probabilities to improve CW or perhaps RTTY </w:t>
      </w:r>
      <w:hyperlink r:id="rId2">
        <w:r>
          <w:rPr>
            <w:rStyle w:val="InternetLink"/>
            <w:b w:val="false"/>
            <w:bCs w:val="false"/>
          </w:rPr>
          <w:t>decoders using other methods</w:t>
        </w:r>
      </w:hyperlink>
      <w:r>
        <w:rPr>
          <w:b w:val="false"/>
          <w:bCs w:val="false"/>
        </w:rPr>
        <w:t>.  The letter frequencies for the general English language can be found online easily, however, I was unable to find them for the specific area of a CW QSO (ham radio conversation using the CW mode).  I am therefore attempting to approximate them using my experience and other data I can find online.</w:t>
      </w:r>
    </w:p>
    <w:p>
      <w:pPr>
        <w:pStyle w:val="Normal"/>
        <w:jc w:val="left"/>
        <w:rPr>
          <w:b w:val="false"/>
          <w:b w:val="false"/>
          <w:bCs w:val="false"/>
        </w:rPr>
      </w:pPr>
      <w:r>
        <w:rPr>
          <w:b w:val="false"/>
          <w:bCs w:val="false"/>
        </w:rPr>
      </w:r>
    </w:p>
    <w:p>
      <w:pPr>
        <w:pStyle w:val="Normal"/>
        <w:jc w:val="left"/>
        <w:rPr/>
      </w:pPr>
      <w:r>
        <w:rPr>
          <w:b w:val="false"/>
          <w:bCs w:val="false"/>
        </w:rPr>
        <w:t xml:space="preserve">First start with the </w:t>
      </w:r>
      <w:hyperlink r:id="rId3">
        <w:r>
          <w:rPr>
            <w:rStyle w:val="InternetLink"/>
            <w:b w:val="false"/>
            <w:bCs w:val="false"/>
          </w:rPr>
          <w:t>letter frequency in English</w:t>
        </w:r>
      </w:hyperlink>
      <w:r>
        <w:rPr>
          <w:b w:val="false"/>
          <w:bCs w:val="false"/>
        </w:rPr>
        <w:t>.</w:t>
      </w:r>
    </w:p>
    <w:p>
      <w:pPr>
        <w:pStyle w:val="Normal"/>
        <w:jc w:val="left"/>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32220" cy="319151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6332220" cy="3191510"/>
                    </a:xfrm>
                    <a:prstGeom prst="rect">
                      <a:avLst/>
                    </a:prstGeom>
                  </pic:spPr>
                </pic:pic>
              </a:graphicData>
            </a:graphic>
          </wp:anchor>
        </w:drawing>
      </w:r>
      <w:r>
        <w:rPr>
          <w:b w:val="false"/>
          <w:bCs w:val="false"/>
        </w:rPr>
        <w:t xml:space="preserve">Now, </w:t>
      </w:r>
      <w:hyperlink r:id="rId5">
        <w:r>
          <w:rPr>
            <w:rStyle w:val="InternetLink"/>
            <w:b w:val="false"/>
            <w:bCs w:val="false"/>
          </w:rPr>
          <w:t>the average length of a word in English is 4.5 letters</w:t>
        </w:r>
      </w:hyperlink>
      <w:r>
        <w:rPr>
          <w:b w:val="false"/>
          <w:bCs w:val="false"/>
        </w:rPr>
        <w:t>.  A space appears after every word.  Furthermore in CW conversations, whenever an operator is thinking repeated extra spaces can occur.  If we ignore these the space is the character about 1/(4.5)*100% of the time.</w:t>
      </w:r>
    </w:p>
    <w:p>
      <w:pPr>
        <w:pStyle w:val="Normal"/>
        <w:jc w:val="left"/>
        <w:rPr>
          <w:b w:val="false"/>
          <w:b w:val="false"/>
          <w:bCs w:val="false"/>
        </w:rPr>
      </w:pPr>
      <w:r>
        <w:rPr>
          <w:b w:val="false"/>
          <w:bCs w:val="false"/>
        </w:rPr>
      </w:r>
    </w:p>
    <w:p>
      <w:pPr>
        <w:pStyle w:val="Normal"/>
        <w:jc w:val="left"/>
        <w:rPr/>
      </w:pPr>
      <w:r>
        <w:rPr>
          <w:b w:val="false"/>
          <w:bCs w:val="false"/>
        </w:rPr>
        <w:t xml:space="preserve">In regular English text, </w:t>
      </w:r>
      <w:hyperlink r:id="rId6">
        <w:r>
          <w:rPr>
            <w:rStyle w:val="InternetLink"/>
            <w:b w:val="false"/>
            <w:bCs w:val="false"/>
          </w:rPr>
          <w:t>punctuation occurs with this frequency</w:t>
        </w:r>
      </w:hyperlink>
      <w:r>
        <w:rPr>
          <w:b w:val="false"/>
          <w:bCs w:val="false"/>
        </w:rPr>
        <w:t>:</w:t>
      </w:r>
    </w:p>
    <w:p>
      <w:pPr>
        <w:pStyle w:val="Normal"/>
        <w:jc w:val="left"/>
        <w:rPr>
          <w:b w:val="false"/>
          <w:b w:val="false"/>
          <w:bCs w:val="false"/>
        </w:rPr>
      </w:pPr>
      <w:r>
        <w:rPr>
          <w:b w:val="false"/>
          <w:bCs w:val="false"/>
        </w:rPr>
        <w:drawing>
          <wp:anchor behindDoc="0" distT="0" distB="0" distL="0" distR="0" simplePos="0" locked="0" layoutInCell="0" allowOverlap="1" relativeHeight="3">
            <wp:simplePos x="0" y="0"/>
            <wp:positionH relativeFrom="column">
              <wp:posOffset>1673860</wp:posOffset>
            </wp:positionH>
            <wp:positionV relativeFrom="paragraph">
              <wp:posOffset>66675</wp:posOffset>
            </wp:positionV>
            <wp:extent cx="2776855" cy="209677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7"/>
                    <a:stretch>
                      <a:fillRect/>
                    </a:stretch>
                  </pic:blipFill>
                  <pic:spPr bwMode="auto">
                    <a:xfrm>
                      <a:off x="0" y="0"/>
                      <a:ext cx="2776855" cy="2096770"/>
                    </a:xfrm>
                    <a:prstGeom prst="rect">
                      <a:avLst/>
                    </a:prstGeom>
                  </pic:spPr>
                </pic:pic>
              </a:graphicData>
            </a:graphic>
          </wp:anchor>
        </w:drawing>
      </w:r>
    </w:p>
    <w:p>
      <w:pPr>
        <w:pStyle w:val="Normal"/>
        <w:jc w:val="left"/>
        <w:rPr>
          <w:b w:val="false"/>
          <w:b w:val="false"/>
          <w:bCs w:val="false"/>
        </w:rPr>
      </w:pPr>
      <w:r>
        <w:rPr>
          <w:b w:val="false"/>
          <w:bCs w:val="false"/>
        </w:rPr>
        <w:t>In ham radio QSO’s in my experience, this is quite different. For example, most hams only know the Morse code for period, comma, question mark, and slash.  The  slash is used more than in general English, as is the question mark, because hams send this to indicate they missed something, which happens fairly often.  Commas are not used as often as in regular English either.  Periods are probably used less too, as they take a long time to send compared to letters, and CW is more informal than regular English text.  Based on these assumptions I am going to guess frequencies for this punctuation per 1000 words as:</w:t>
      </w:r>
    </w:p>
    <w:tbl>
      <w:tblPr>
        <w:tblW w:w="9972" w:type="dxa"/>
        <w:jc w:val="left"/>
        <w:tblInd w:w="0" w:type="dxa"/>
        <w:tblLayout w:type="fixed"/>
        <w:tblCellMar>
          <w:top w:w="55" w:type="dxa"/>
          <w:left w:w="55" w:type="dxa"/>
          <w:bottom w:w="55" w:type="dxa"/>
          <w:right w:w="55" w:type="dxa"/>
        </w:tblCellMar>
      </w:tblPr>
      <w:tblGrid>
        <w:gridCol w:w="4985"/>
        <w:gridCol w:w="4987"/>
      </w:tblGrid>
      <w:tr>
        <w:trPr/>
        <w:tc>
          <w:tcPr>
            <w:tcW w:w="4985" w:type="dxa"/>
            <w:tcBorders>
              <w:top w:val="single" w:sz="2" w:space="0" w:color="000000"/>
              <w:left w:val="single" w:sz="2" w:space="0" w:color="000000"/>
              <w:bottom w:val="single" w:sz="2" w:space="0" w:color="000000"/>
            </w:tcBorders>
          </w:tcPr>
          <w:p>
            <w:pPr>
              <w:pStyle w:val="TableContents"/>
              <w:widowControl w:val="false"/>
              <w:jc w:val="center"/>
              <w:rPr>
                <w:b/>
                <w:b/>
                <w:bCs/>
              </w:rPr>
            </w:pPr>
            <w:r>
              <w:rPr>
                <w:b/>
                <w:bCs/>
              </w:rPr>
              <w:t>Punctuation</w:t>
            </w:r>
          </w:p>
        </w:tc>
        <w:tc>
          <w:tcPr>
            <w:tcW w:w="4987" w:type="dxa"/>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b/>
                <w:b/>
                <w:bCs/>
              </w:rPr>
            </w:pPr>
            <w:r>
              <w:rPr>
                <w:b/>
                <w:bCs/>
              </w:rPr>
              <w:t>Estimated Frequency per 1000 Words</w:t>
            </w:r>
          </w:p>
        </w:tc>
      </w:tr>
      <w:tr>
        <w:trPr/>
        <w:tc>
          <w:tcPr>
            <w:tcW w:w="4985" w:type="dxa"/>
            <w:tcBorders>
              <w:left w:val="single" w:sz="2" w:space="0" w:color="000000"/>
              <w:bottom w:val="single" w:sz="2" w:space="0" w:color="000000"/>
            </w:tcBorders>
          </w:tcPr>
          <w:p>
            <w:pPr>
              <w:pStyle w:val="TableContents"/>
              <w:widowControl w:val="false"/>
              <w:jc w:val="left"/>
              <w:rPr/>
            </w:pPr>
            <w:r>
              <w:rPr/>
              <w:t>Period</w:t>
            </w:r>
          </w:p>
        </w:tc>
        <w:tc>
          <w:tcPr>
            <w:tcW w:w="4987" w:type="dxa"/>
            <w:tcBorders>
              <w:left w:val="single" w:sz="2" w:space="0" w:color="000000"/>
              <w:bottom w:val="single" w:sz="2" w:space="0" w:color="000000"/>
              <w:right w:val="single" w:sz="2" w:space="0" w:color="000000"/>
            </w:tcBorders>
          </w:tcPr>
          <w:p>
            <w:pPr>
              <w:pStyle w:val="TableContents"/>
              <w:widowControl w:val="false"/>
              <w:jc w:val="center"/>
              <w:rPr/>
            </w:pPr>
            <w:r>
              <w:rPr/>
              <w:t>50</w:t>
            </w:r>
          </w:p>
        </w:tc>
      </w:tr>
      <w:tr>
        <w:trPr/>
        <w:tc>
          <w:tcPr>
            <w:tcW w:w="4985" w:type="dxa"/>
            <w:tcBorders>
              <w:left w:val="single" w:sz="2" w:space="0" w:color="000000"/>
              <w:bottom w:val="single" w:sz="2" w:space="0" w:color="000000"/>
            </w:tcBorders>
          </w:tcPr>
          <w:p>
            <w:pPr>
              <w:pStyle w:val="TableContents"/>
              <w:widowControl w:val="false"/>
              <w:jc w:val="left"/>
              <w:rPr/>
            </w:pPr>
            <w:r>
              <w:rPr/>
              <w:t>Comma</w:t>
            </w:r>
          </w:p>
        </w:tc>
        <w:tc>
          <w:tcPr>
            <w:tcW w:w="4987" w:type="dxa"/>
            <w:tcBorders>
              <w:left w:val="single" w:sz="2" w:space="0" w:color="000000"/>
              <w:bottom w:val="single" w:sz="2" w:space="0" w:color="000000"/>
              <w:right w:val="single" w:sz="2" w:space="0" w:color="000000"/>
            </w:tcBorders>
          </w:tcPr>
          <w:p>
            <w:pPr>
              <w:pStyle w:val="TableContents"/>
              <w:widowControl w:val="false"/>
              <w:jc w:val="center"/>
              <w:rPr/>
            </w:pPr>
            <w:r>
              <w:rPr/>
              <w:t>40</w:t>
            </w:r>
          </w:p>
        </w:tc>
      </w:tr>
      <w:tr>
        <w:trPr/>
        <w:tc>
          <w:tcPr>
            <w:tcW w:w="4985" w:type="dxa"/>
            <w:tcBorders>
              <w:left w:val="single" w:sz="2" w:space="0" w:color="000000"/>
              <w:bottom w:val="single" w:sz="2" w:space="0" w:color="000000"/>
            </w:tcBorders>
          </w:tcPr>
          <w:p>
            <w:pPr>
              <w:pStyle w:val="TableContents"/>
              <w:widowControl w:val="false"/>
              <w:jc w:val="left"/>
              <w:rPr/>
            </w:pPr>
            <w:r>
              <w:rPr/>
              <w:t>Question Mark</w:t>
            </w:r>
          </w:p>
        </w:tc>
        <w:tc>
          <w:tcPr>
            <w:tcW w:w="4987" w:type="dxa"/>
            <w:tcBorders>
              <w:left w:val="single" w:sz="2" w:space="0" w:color="000000"/>
              <w:bottom w:val="single" w:sz="2" w:space="0" w:color="000000"/>
              <w:right w:val="single" w:sz="2" w:space="0" w:color="000000"/>
            </w:tcBorders>
          </w:tcPr>
          <w:p>
            <w:pPr>
              <w:pStyle w:val="TableContents"/>
              <w:widowControl w:val="false"/>
              <w:jc w:val="center"/>
              <w:rPr/>
            </w:pPr>
            <w:r>
              <w:rPr/>
              <w:t>20</w:t>
            </w:r>
          </w:p>
        </w:tc>
      </w:tr>
      <w:tr>
        <w:trPr/>
        <w:tc>
          <w:tcPr>
            <w:tcW w:w="4985" w:type="dxa"/>
            <w:tcBorders>
              <w:left w:val="single" w:sz="2" w:space="0" w:color="000000"/>
              <w:bottom w:val="single" w:sz="2" w:space="0" w:color="000000"/>
            </w:tcBorders>
          </w:tcPr>
          <w:p>
            <w:pPr>
              <w:pStyle w:val="TableContents"/>
              <w:widowControl w:val="false"/>
              <w:jc w:val="left"/>
              <w:rPr/>
            </w:pPr>
            <w:r>
              <w:rPr/>
              <w:t>Slash</w:t>
            </w:r>
          </w:p>
        </w:tc>
        <w:tc>
          <w:tcPr>
            <w:tcW w:w="4987" w:type="dxa"/>
            <w:tcBorders>
              <w:left w:val="single" w:sz="2" w:space="0" w:color="000000"/>
              <w:bottom w:val="single" w:sz="2" w:space="0" w:color="000000"/>
              <w:right w:val="single" w:sz="2" w:space="0" w:color="000000"/>
            </w:tcBorders>
          </w:tcPr>
          <w:p>
            <w:pPr>
              <w:pStyle w:val="TableContents"/>
              <w:widowControl w:val="false"/>
              <w:jc w:val="center"/>
              <w:rPr/>
            </w:pPr>
            <w:r>
              <w:rPr/>
              <w:t>3</w:t>
            </w:r>
          </w:p>
        </w:tc>
      </w:tr>
    </w:tbl>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 xml:space="preserve"> </w:t>
      </w:r>
    </w:p>
    <w:p>
      <w:pPr>
        <w:pStyle w:val="Normal"/>
        <w:jc w:val="left"/>
        <w:rPr/>
      </w:pPr>
      <w:r>
        <w:rPr>
          <w:b w:val="false"/>
          <w:bCs w:val="false"/>
        </w:rPr>
        <w:t xml:space="preserve">Furthermore, they use prosigns, punctuation that are most often recognized by hams as two letters run together, often written with an overscore over both characters, and more recently mapped to other unused characters in the Morse code mapping, like + for  </w:t>
      </w:r>
      <w:r>
        <w:rPr/>
      </w:r>
      <m:oMath xmlns:m="http://schemas.openxmlformats.org/officeDocument/2006/math">
        <m:bar>
          <m:barPr>
            <m:pos m:val="top"/>
          </m:barPr>
          <m:e>
            <m:r>
              <w:rPr>
                <w:rFonts w:ascii="Cambria Math" w:hAnsi="Cambria Math"/>
              </w:rPr>
              <m:t xml:space="preserve">AR</m:t>
            </m:r>
          </m:e>
        </m:bar>
      </m:oMath>
      <w:r>
        <w:rPr/>
        <w:t xml:space="preserve"> </w:t>
      </w:r>
      <w:r>
        <w:rPr>
          <w:b w:val="false"/>
          <w:bCs w:val="false"/>
        </w:rPr>
        <w:t xml:space="preserve">(end of transmission) or = for </w:t>
      </w:r>
      <w:r>
        <w:rPr/>
      </w:r>
      <m:oMath xmlns:m="http://schemas.openxmlformats.org/officeDocument/2006/math">
        <m:bar>
          <m:barPr>
            <m:pos m:val="top"/>
          </m:barPr>
          <m:e>
            <m:r>
              <w:rPr>
                <w:rFonts w:ascii="Cambria Math" w:hAnsi="Cambria Math"/>
              </w:rPr>
              <m:t xml:space="preserve">BT</m:t>
            </m:r>
          </m:e>
        </m:bar>
      </m:oMath>
      <w:r>
        <w:rPr>
          <w:b w:val="false"/>
          <w:bCs w:val="false"/>
        </w:rPr>
        <w:t xml:space="preserve">.  </w:t>
      </w:r>
    </w:p>
    <w:p>
      <w:pPr>
        <w:pStyle w:val="Normal"/>
        <w:jc w:val="left"/>
        <w:rPr/>
      </w:pPr>
      <w:r>
        <w:rPr>
          <w:b w:val="false"/>
          <w:bCs w:val="false"/>
        </w:rPr>
        <w:t xml:space="preserve">Then there are the numerical digits.  These occur more often than in regular text, because every call sign has at least one of them, and the call sign of both stations is usually sent at the beginning and end of every transmission, and because CW is similar to texting, it is unusual for a number to be spelled out; furthermore, signal reports are numbers, and they are usually sent for each QSO.   I will assume no digit is more likely than another.  I’m going to guess a digit occur four times every transmission, and estimate each transmission is 25 words, so that is four times as often as </w:t>
      </w:r>
      <w:r>
        <w:rPr/>
      </w:r>
      <m:oMath xmlns:m="http://schemas.openxmlformats.org/officeDocument/2006/math">
        <m:bar>
          <m:barPr>
            <m:pos m:val="top"/>
          </m:barPr>
          <m:e>
            <m:r>
              <w:rPr>
                <w:rFonts w:ascii="Cambria Math" w:hAnsi="Cambria Math"/>
              </w:rPr>
              <m:t xml:space="preserve">AR</m:t>
            </m:r>
          </m:e>
        </m:bar>
      </m:oMath>
      <w:r>
        <w:rPr/>
        <w:t xml:space="preserve"> </w:t>
      </w:r>
      <w:r>
        <w:rPr/>
        <w:t>or 16 times per 1000 words for each digit</w:t>
      </w:r>
      <w:r>
        <w:rPr>
          <w:b w:val="false"/>
          <w:bCs w:val="false"/>
        </w:rPr>
        <w:t>.</w:t>
      </w:r>
    </w:p>
    <w:p>
      <w:pPr>
        <w:pStyle w:val="Normal"/>
        <w:jc w:val="left"/>
        <w:rPr>
          <w:b w:val="false"/>
          <w:b w:val="false"/>
          <w:bCs w:val="false"/>
        </w:rPr>
      </w:pPr>
      <w:r>
        <w:rPr>
          <w:b w:val="false"/>
          <w:bCs w:val="false"/>
        </w:rPr>
      </w:r>
    </w:p>
    <w:p>
      <w:pPr>
        <w:pStyle w:val="Normal"/>
        <w:jc w:val="left"/>
        <w:rPr/>
      </w:pPr>
      <w:r>
        <w:rPr>
          <w:b w:val="false"/>
          <w:bCs w:val="false"/>
        </w:rPr>
        <w:t xml:space="preserve">Here is a list of more commonly used </w:t>
      </w:r>
      <w:hyperlink r:id="rId8">
        <w:r>
          <w:rPr>
            <w:rStyle w:val="InternetLink"/>
            <w:b w:val="false"/>
            <w:bCs w:val="false"/>
          </w:rPr>
          <w:t>prosigns</w:t>
        </w:r>
      </w:hyperlink>
      <w:r>
        <w:rPr>
          <w:b w:val="false"/>
          <w:bCs w:val="false"/>
        </w:rPr>
        <w:t xml:space="preserve"> in my experience, with my estimates of their frequency per 1000 words.</w:t>
      </w:r>
    </w:p>
    <w:tbl>
      <w:tblPr>
        <w:tblW w:w="9972" w:type="dxa"/>
        <w:jc w:val="left"/>
        <w:tblInd w:w="0" w:type="dxa"/>
        <w:tblLayout w:type="fixed"/>
        <w:tblCellMar>
          <w:top w:w="55" w:type="dxa"/>
          <w:left w:w="55" w:type="dxa"/>
          <w:bottom w:w="55" w:type="dxa"/>
          <w:right w:w="55" w:type="dxa"/>
        </w:tblCellMar>
      </w:tblPr>
      <w:tblGrid>
        <w:gridCol w:w="988"/>
        <w:gridCol w:w="7738"/>
        <w:gridCol w:w="1246"/>
      </w:tblGrid>
      <w:tr>
        <w:trPr/>
        <w:tc>
          <w:tcPr>
            <w:tcW w:w="988" w:type="dxa"/>
            <w:tcBorders>
              <w:top w:val="single" w:sz="2" w:space="0" w:color="000000"/>
              <w:left w:val="single" w:sz="2" w:space="0" w:color="000000"/>
              <w:bottom w:val="single" w:sz="2" w:space="0" w:color="000000"/>
            </w:tcBorders>
          </w:tcPr>
          <w:p>
            <w:pPr>
              <w:pStyle w:val="TableContents"/>
              <w:widowControl w:val="false"/>
              <w:jc w:val="center"/>
              <w:rPr>
                <w:b/>
                <w:b/>
                <w:bCs/>
              </w:rPr>
            </w:pPr>
            <w:r>
              <w:rPr>
                <w:b/>
                <w:bCs/>
              </w:rPr>
              <w:t>Prosign</w:t>
            </w:r>
          </w:p>
        </w:tc>
        <w:tc>
          <w:tcPr>
            <w:tcW w:w="7738" w:type="dxa"/>
            <w:tcBorders>
              <w:top w:val="single" w:sz="2" w:space="0" w:color="000000"/>
              <w:left w:val="single" w:sz="2" w:space="0" w:color="000000"/>
              <w:bottom w:val="single" w:sz="2" w:space="0" w:color="000000"/>
            </w:tcBorders>
          </w:tcPr>
          <w:p>
            <w:pPr>
              <w:pStyle w:val="TableContents"/>
              <w:widowControl w:val="false"/>
              <w:jc w:val="center"/>
              <w:rPr>
                <w:b/>
                <w:b/>
                <w:bCs/>
              </w:rPr>
            </w:pPr>
            <w:r>
              <w:rPr>
                <w:b/>
                <w:bCs/>
              </w:rPr>
              <w:t>Meaning</w:t>
            </w:r>
          </w:p>
        </w:tc>
        <w:tc>
          <w:tcPr>
            <w:tcW w:w="1246" w:type="dxa"/>
            <w:tcBorders>
              <w:top w:val="single" w:sz="2" w:space="0" w:color="000000"/>
              <w:left w:val="single" w:sz="2" w:space="0" w:color="000000"/>
              <w:bottom w:val="single" w:sz="2" w:space="0" w:color="000000"/>
              <w:right w:val="single" w:sz="2" w:space="0" w:color="000000"/>
            </w:tcBorders>
          </w:tcPr>
          <w:p>
            <w:pPr>
              <w:pStyle w:val="TableContents"/>
              <w:widowControl w:val="false"/>
              <w:jc w:val="center"/>
              <w:rPr>
                <w:b/>
                <w:b/>
                <w:bCs/>
              </w:rPr>
            </w:pPr>
            <w:r>
              <w:rPr>
                <w:b/>
                <w:bCs/>
              </w:rPr>
              <w:t>Frequency (per 1000 words)</w:t>
            </w:r>
          </w:p>
        </w:tc>
      </w:tr>
      <w:tr>
        <w:trPr/>
        <w:tc>
          <w:tcPr>
            <w:tcW w:w="988" w:type="dxa"/>
            <w:tcBorders>
              <w:left w:val="single" w:sz="2" w:space="0" w:color="000000"/>
              <w:bottom w:val="single" w:sz="2" w:space="0" w:color="000000"/>
            </w:tcBorders>
          </w:tcPr>
          <w:p>
            <w:pPr>
              <w:pStyle w:val="TableContents"/>
              <w:widowControl w:val="false"/>
              <w:jc w:val="left"/>
              <w:rPr/>
            </w:pPr>
            <w:r>
              <w:rPr/>
            </w:r>
            <m:oMathPara xmlns:m="http://schemas.openxmlformats.org/officeDocument/2006/math">
              <m:oMathParaPr>
                <m:jc m:val="left"/>
              </m:oMathParaPr>
              <m:oMath>
                <m:bar>
                  <m:barPr>
                    <m:pos m:val="top"/>
                  </m:barPr>
                  <m:e>
                    <m:r>
                      <w:rPr>
                        <w:rFonts w:ascii="Cambria Math" w:hAnsi="Cambria Math"/>
                      </w:rPr>
                      <m:t xml:space="preserve">AR</m:t>
                    </m:r>
                  </m:e>
                </m:bar>
              </m:oMath>
            </m:oMathPara>
          </w:p>
        </w:tc>
        <w:tc>
          <w:tcPr>
            <w:tcW w:w="7738" w:type="dxa"/>
            <w:tcBorders>
              <w:left w:val="single" w:sz="2" w:space="0" w:color="000000"/>
              <w:bottom w:val="single" w:sz="2" w:space="0" w:color="000000"/>
            </w:tcBorders>
          </w:tcPr>
          <w:p>
            <w:pPr>
              <w:pStyle w:val="Normal"/>
              <w:widowControl w:val="false"/>
              <w:jc w:val="left"/>
              <w:rPr>
                <w:b w:val="false"/>
                <w:b w:val="false"/>
                <w:bCs w:val="false"/>
              </w:rPr>
            </w:pPr>
            <w:r>
              <w:rPr>
                <w:b w:val="false"/>
                <w:bCs w:val="false"/>
              </w:rPr>
              <w:t xml:space="preserve">used after every transmission, just before turning it over to the other operator for his transmission  </w:t>
            </w:r>
          </w:p>
        </w:tc>
        <w:tc>
          <w:tcPr>
            <w:tcW w:w="1246" w:type="dxa"/>
            <w:tcBorders>
              <w:left w:val="single" w:sz="2" w:space="0" w:color="000000"/>
              <w:bottom w:val="single" w:sz="2" w:space="0" w:color="000000"/>
              <w:right w:val="single" w:sz="2" w:space="0" w:color="000000"/>
            </w:tcBorders>
          </w:tcPr>
          <w:p>
            <w:pPr>
              <w:pStyle w:val="TableContents"/>
              <w:widowControl w:val="false"/>
              <w:rPr/>
            </w:pPr>
            <w:r>
              <w:rPr/>
              <w:t>40</w:t>
            </w:r>
          </w:p>
        </w:tc>
      </w:tr>
      <w:tr>
        <w:trPr/>
        <w:tc>
          <w:tcPr>
            <w:tcW w:w="988" w:type="dxa"/>
            <w:tcBorders>
              <w:left w:val="single" w:sz="2" w:space="0" w:color="000000"/>
              <w:bottom w:val="single" w:sz="2" w:space="0" w:color="000000"/>
            </w:tcBorders>
          </w:tcPr>
          <w:p>
            <w:pPr>
              <w:pStyle w:val="TableContents"/>
              <w:widowControl w:val="false"/>
              <w:jc w:val="left"/>
              <w:rPr/>
            </w:pPr>
            <w:r>
              <w:rPr/>
            </w:r>
            <m:oMathPara xmlns:m="http://schemas.openxmlformats.org/officeDocument/2006/math">
              <m:oMathParaPr>
                <m:jc m:val="left"/>
              </m:oMathParaPr>
              <m:oMath>
                <m:bar>
                  <m:barPr>
                    <m:pos m:val="top"/>
                  </m:barPr>
                  <m:e>
                    <m:r>
                      <w:rPr>
                        <w:rFonts w:ascii="Cambria Math" w:hAnsi="Cambria Math"/>
                      </w:rPr>
                      <m:t xml:space="preserve">BT</m:t>
                    </m:r>
                  </m:e>
                </m:bar>
              </m:oMath>
            </m:oMathPara>
          </w:p>
        </w:tc>
        <w:tc>
          <w:tcPr>
            <w:tcW w:w="7738" w:type="dxa"/>
            <w:tcBorders>
              <w:left w:val="single" w:sz="2" w:space="0" w:color="000000"/>
              <w:bottom w:val="single" w:sz="2" w:space="0" w:color="000000"/>
            </w:tcBorders>
          </w:tcPr>
          <w:p>
            <w:pPr>
              <w:pStyle w:val="Normal"/>
              <w:widowControl w:val="false"/>
              <w:jc w:val="left"/>
              <w:rPr>
                <w:b w:val="false"/>
                <w:b w:val="false"/>
                <w:bCs w:val="false"/>
              </w:rPr>
            </w:pPr>
            <w:r>
              <w:rPr>
                <w:b w:val="false"/>
                <w:bCs w:val="false"/>
              </w:rPr>
              <w:t>signifying the end of that paragraph, often used when the operator is thinking</w:t>
            </w:r>
          </w:p>
        </w:tc>
        <w:tc>
          <w:tcPr>
            <w:tcW w:w="1246" w:type="dxa"/>
            <w:tcBorders>
              <w:left w:val="single" w:sz="2" w:space="0" w:color="000000"/>
              <w:bottom w:val="single" w:sz="2" w:space="0" w:color="000000"/>
              <w:right w:val="single" w:sz="2" w:space="0" w:color="000000"/>
            </w:tcBorders>
          </w:tcPr>
          <w:p>
            <w:pPr>
              <w:pStyle w:val="TableContents"/>
              <w:widowControl w:val="false"/>
              <w:rPr/>
            </w:pPr>
            <w:r>
              <w:rPr/>
              <w:t>2</w:t>
            </w:r>
          </w:p>
        </w:tc>
      </w:tr>
      <w:tr>
        <w:trPr/>
        <w:tc>
          <w:tcPr>
            <w:tcW w:w="988" w:type="dxa"/>
            <w:tcBorders>
              <w:left w:val="single" w:sz="2" w:space="0" w:color="000000"/>
              <w:bottom w:val="single" w:sz="2" w:space="0" w:color="000000"/>
            </w:tcBorders>
          </w:tcPr>
          <w:p>
            <w:pPr>
              <w:pStyle w:val="TableContents"/>
              <w:widowControl w:val="false"/>
              <w:jc w:val="left"/>
              <w:rPr/>
            </w:pPr>
            <w:r>
              <w:rPr/>
            </w:r>
            <m:oMathPara xmlns:m="http://schemas.openxmlformats.org/officeDocument/2006/math">
              <m:oMathParaPr>
                <m:jc m:val="left"/>
              </m:oMathParaPr>
              <m:oMath>
                <m:bar>
                  <m:barPr>
                    <m:pos m:val="top"/>
                  </m:barPr>
                  <m:e>
                    <m:r>
                      <w:rPr>
                        <w:rFonts w:ascii="Cambria Math" w:hAnsi="Cambria Math"/>
                      </w:rPr>
                      <m:t xml:space="preserve">AS</m:t>
                    </m:r>
                  </m:e>
                </m:bar>
              </m:oMath>
            </m:oMathPara>
          </w:p>
        </w:tc>
        <w:tc>
          <w:tcPr>
            <w:tcW w:w="7738" w:type="dxa"/>
            <w:tcBorders>
              <w:left w:val="single" w:sz="2" w:space="0" w:color="000000"/>
              <w:bottom w:val="single" w:sz="2" w:space="0" w:color="000000"/>
            </w:tcBorders>
          </w:tcPr>
          <w:p>
            <w:pPr>
              <w:pStyle w:val="Normal"/>
              <w:widowControl w:val="false"/>
              <w:jc w:val="left"/>
              <w:rPr>
                <w:b w:val="false"/>
                <w:b w:val="false"/>
                <w:bCs w:val="false"/>
              </w:rPr>
            </w:pPr>
            <w:r>
              <w:rPr>
                <w:b w:val="false"/>
                <w:bCs w:val="false"/>
              </w:rPr>
              <w:t>please wait just a moment</w:t>
            </w:r>
          </w:p>
        </w:tc>
        <w:tc>
          <w:tcPr>
            <w:tcW w:w="1246" w:type="dxa"/>
            <w:tcBorders>
              <w:left w:val="single" w:sz="2" w:space="0" w:color="000000"/>
              <w:bottom w:val="single" w:sz="2" w:space="0" w:color="000000"/>
              <w:right w:val="single" w:sz="2" w:space="0" w:color="000000"/>
            </w:tcBorders>
          </w:tcPr>
          <w:p>
            <w:pPr>
              <w:pStyle w:val="TableContents"/>
              <w:widowControl w:val="false"/>
              <w:rPr/>
            </w:pPr>
            <w:r>
              <w:rPr/>
              <w:t>1</w:t>
            </w:r>
          </w:p>
        </w:tc>
      </w:tr>
      <w:tr>
        <w:trPr/>
        <w:tc>
          <w:tcPr>
            <w:tcW w:w="988" w:type="dxa"/>
            <w:tcBorders>
              <w:left w:val="single" w:sz="2" w:space="0" w:color="000000"/>
              <w:bottom w:val="single" w:sz="2" w:space="0" w:color="000000"/>
            </w:tcBorders>
          </w:tcPr>
          <w:p>
            <w:pPr>
              <w:pStyle w:val="TableContents"/>
              <w:widowControl w:val="false"/>
              <w:jc w:val="left"/>
              <w:rPr/>
            </w:pPr>
            <w:r>
              <w:rPr/>
            </w:r>
            <m:oMathPara xmlns:m="http://schemas.openxmlformats.org/officeDocument/2006/math">
              <m:oMathParaPr>
                <m:jc m:val="left"/>
              </m:oMathParaPr>
              <m:oMath>
                <m:bar>
                  <m:barPr>
                    <m:pos m:val="top"/>
                  </m:barPr>
                  <m:e>
                    <m:r>
                      <w:rPr>
                        <w:rFonts w:ascii="Cambria Math" w:hAnsi="Cambria Math"/>
                      </w:rPr>
                      <m:t xml:space="preserve">HH</m:t>
                    </m:r>
                  </m:e>
                </m:bar>
              </m:oMath>
            </m:oMathPara>
          </w:p>
        </w:tc>
        <w:tc>
          <w:tcPr>
            <w:tcW w:w="7738" w:type="dxa"/>
            <w:tcBorders>
              <w:left w:val="single" w:sz="2" w:space="0" w:color="000000"/>
              <w:bottom w:val="single" w:sz="2" w:space="0" w:color="000000"/>
            </w:tcBorders>
          </w:tcPr>
          <w:p>
            <w:pPr>
              <w:pStyle w:val="Normal"/>
              <w:widowControl w:val="false"/>
              <w:jc w:val="left"/>
              <w:rPr>
                <w:b w:val="false"/>
                <w:b w:val="false"/>
                <w:bCs w:val="false"/>
              </w:rPr>
            </w:pPr>
            <w:r>
              <w:rPr>
                <w:b w:val="false"/>
                <w:bCs w:val="false"/>
              </w:rPr>
              <w:t>oops, I made an error sending that just now, let me try again</w:t>
            </w:r>
          </w:p>
        </w:tc>
        <w:tc>
          <w:tcPr>
            <w:tcW w:w="1246" w:type="dxa"/>
            <w:tcBorders>
              <w:left w:val="single" w:sz="2" w:space="0" w:color="000000"/>
              <w:bottom w:val="single" w:sz="2" w:space="0" w:color="000000"/>
              <w:right w:val="single" w:sz="2" w:space="0" w:color="000000"/>
            </w:tcBorders>
          </w:tcPr>
          <w:p>
            <w:pPr>
              <w:pStyle w:val="TableContents"/>
              <w:widowControl w:val="false"/>
              <w:rPr/>
            </w:pPr>
            <w:r>
              <w:rPr/>
              <w:t>2</w:t>
            </w:r>
          </w:p>
        </w:tc>
      </w:tr>
      <w:tr>
        <w:trPr/>
        <w:tc>
          <w:tcPr>
            <w:tcW w:w="988" w:type="dxa"/>
            <w:tcBorders>
              <w:left w:val="single" w:sz="2" w:space="0" w:color="000000"/>
              <w:bottom w:val="single" w:sz="2" w:space="0" w:color="000000"/>
            </w:tcBorders>
          </w:tcPr>
          <w:p>
            <w:pPr>
              <w:pStyle w:val="TableContents"/>
              <w:widowControl w:val="false"/>
              <w:jc w:val="left"/>
              <w:rPr/>
            </w:pPr>
            <w:r>
              <w:rPr/>
            </w:r>
            <m:oMathPara xmlns:m="http://schemas.openxmlformats.org/officeDocument/2006/math">
              <m:oMathParaPr>
                <m:jc m:val="left"/>
              </m:oMathParaPr>
              <m:oMath>
                <m:bar>
                  <m:barPr>
                    <m:pos m:val="top"/>
                  </m:barPr>
                  <m:e>
                    <m:r>
                      <w:rPr>
                        <w:rFonts w:ascii="Cambria Math" w:hAnsi="Cambria Math"/>
                      </w:rPr>
                      <m:t xml:space="preserve">SK</m:t>
                    </m:r>
                  </m:e>
                </m:bar>
              </m:oMath>
            </m:oMathPara>
          </w:p>
        </w:tc>
        <w:tc>
          <w:tcPr>
            <w:tcW w:w="7738" w:type="dxa"/>
            <w:tcBorders>
              <w:left w:val="single" w:sz="2" w:space="0" w:color="000000"/>
              <w:bottom w:val="single" w:sz="2" w:space="0" w:color="000000"/>
            </w:tcBorders>
          </w:tcPr>
          <w:p>
            <w:pPr>
              <w:pStyle w:val="Normal"/>
              <w:widowControl w:val="false"/>
              <w:jc w:val="left"/>
              <w:rPr>
                <w:b w:val="false"/>
                <w:b w:val="false"/>
                <w:bCs w:val="false"/>
              </w:rPr>
            </w:pPr>
            <w:r>
              <w:rPr>
                <w:b w:val="false"/>
                <w:bCs w:val="false"/>
              </w:rPr>
              <w:t>sent at the end of a contact (QSO)</w:t>
            </w:r>
          </w:p>
        </w:tc>
        <w:tc>
          <w:tcPr>
            <w:tcW w:w="1246" w:type="dxa"/>
            <w:tcBorders>
              <w:left w:val="single" w:sz="2" w:space="0" w:color="000000"/>
              <w:bottom w:val="single" w:sz="2" w:space="0" w:color="000000"/>
              <w:right w:val="single" w:sz="2" w:space="0" w:color="000000"/>
            </w:tcBorders>
          </w:tcPr>
          <w:p>
            <w:pPr>
              <w:pStyle w:val="TableContents"/>
              <w:widowControl w:val="false"/>
              <w:rPr/>
            </w:pPr>
            <w:r>
              <w:rPr/>
              <w:t>2</w:t>
            </w:r>
          </w:p>
        </w:tc>
      </w:tr>
    </w:tbl>
    <w:p>
      <w:pPr>
        <w:pStyle w:val="Normal"/>
        <w:jc w:val="left"/>
        <w:rPr>
          <w:b w:val="false"/>
          <w:b w:val="false"/>
          <w:bCs w:val="false"/>
        </w:rPr>
      </w:pPr>
      <w:r>
        <w:rPr>
          <w:b w:val="false"/>
          <w:bCs w:val="false"/>
        </w:rPr>
      </w:r>
    </w:p>
    <w:p>
      <w:pPr>
        <w:pStyle w:val="Normal"/>
        <w:jc w:val="left"/>
        <w:rPr/>
      </w:pPr>
      <w:r>
        <w:rPr>
          <w:b w:val="false"/>
          <w:bCs w:val="false"/>
        </w:rPr>
        <w:t xml:space="preserve">To obtain the final probability estimates, we need to put this all together.  I will assume there are 1000 words, and letter frequencies are </w:t>
      </w:r>
      <w:r>
        <w:rPr/>
      </w:r>
      <m:oMath xmlns:m="http://schemas.openxmlformats.org/officeDocument/2006/math">
        <m:r>
          <w:rPr>
            <w:rFonts w:ascii="Cambria Math" w:hAnsi="Cambria Math"/>
          </w:rPr>
          <m:t xml:space="preserve">1000</m:t>
        </m:r>
        <m:r>
          <w:rPr>
            <w:rFonts w:ascii="Cambria Math" w:hAnsi="Cambria Math"/>
          </w:rPr>
          <m:t xml:space="preserve">P</m:t>
        </m:r>
        <m:d>
          <m:dPr>
            <m:begChr m:val="("/>
            <m:endChr m:val=")"/>
          </m:dPr>
          <m:e>
            <m:r>
              <w:rPr>
                <w:rFonts w:ascii="Cambria Math" w:hAnsi="Cambria Math"/>
              </w:rPr>
              <m:t xml:space="preserve">letter</m:t>
            </m:r>
          </m:e>
        </m:d>
        <m:r>
          <w:rPr>
            <w:rFonts w:ascii="Cambria Math" w:hAnsi="Cambria Math"/>
          </w:rPr>
          <m:t xml:space="preserve">4.5</m:t>
        </m:r>
        <m:f>
          <m:fPr>
            <m:type m:val="lin"/>
          </m:fPr>
          <m:num>
            <m:r>
              <w:rPr>
                <w:rFonts w:ascii="Cambria Math" w:hAnsi="Cambria Math"/>
              </w:rPr>
              <m:t xml:space="preserve">letters</m:t>
            </m:r>
          </m:num>
          <m:den>
            <m:r>
              <w:rPr>
                <w:rFonts w:ascii="Cambria Math" w:hAnsi="Cambria Math"/>
              </w:rPr>
              <m:t xml:space="preserve">word</m:t>
            </m:r>
          </m:den>
        </m:f>
      </m:oMath>
      <w:r>
        <w:rPr>
          <w:b w:val="false"/>
          <w:bCs w:val="false"/>
        </w:rPr>
        <w:t xml:space="preserve">.  We renormalize, based on how many characters we have, and recompute probabilities using </w:t>
      </w:r>
      <w:r>
        <w:rPr/>
      </w:r>
      <m:oMath xmlns:m="http://schemas.openxmlformats.org/officeDocument/2006/math">
        <m:r>
          <w:rPr>
            <w:rFonts w:ascii="Cambria Math" w:hAnsi="Cambria Math"/>
          </w:rPr>
          <m:t xml:space="preserve">P</m:t>
        </m:r>
        <m:d>
          <m:dPr>
            <m:begChr m:val="("/>
            <m:endChr m:val=")"/>
          </m:dPr>
          <m:e>
            <m:r>
              <w:rPr>
                <w:rFonts w:ascii="Cambria Math" w:hAnsi="Cambria Math"/>
              </w:rPr>
              <m:t xml:space="preserve">chararter</m:t>
            </m:r>
          </m:e>
        </m:d>
        <m:r>
          <w:rPr>
            <w:rFonts w:ascii="Cambria Math" w:hAnsi="Cambria Math"/>
          </w:rPr>
          <m:t xml:space="preserve">=</m:t>
        </m:r>
        <m:r>
          <w:rPr>
            <w:rFonts w:ascii="Cambria Math" w:hAnsi="Cambria Math"/>
          </w:rPr>
          <m:t xml:space="preserve">frequency</m:t>
        </m:r>
        <m:r>
          <w:rPr>
            <w:rFonts w:ascii="Cambria Math" w:hAnsi="Cambria Math"/>
          </w:rPr>
          <m:t xml:space="preserve">per</m:t>
        </m:r>
        <m:r>
          <w:rPr>
            <w:rFonts w:ascii="Cambria Math" w:hAnsi="Cambria Math"/>
          </w:rPr>
          <m:t xml:space="preserve">1000</m:t>
        </m:r>
        <m:f>
          <m:fPr>
            <m:type m:val="lin"/>
          </m:fPr>
          <m:num>
            <m:r>
              <w:rPr>
                <w:rFonts w:ascii="Cambria Math" w:hAnsi="Cambria Math"/>
              </w:rPr>
              <m:t xml:space="preserve">words</m:t>
            </m:r>
          </m:num>
          <m:den>
            <m:r>
              <w:rPr>
                <w:rFonts w:ascii="Cambria Math" w:hAnsi="Cambria Math"/>
              </w:rPr>
              <m:t xml:space="preserve">characters</m:t>
            </m:r>
          </m:den>
        </m:f>
        <m:r>
          <w:rPr>
            <w:rFonts w:ascii="Cambria Math" w:hAnsi="Cambria Math"/>
          </w:rPr>
          <m:t xml:space="preserve">per</m:t>
        </m:r>
        <m:r>
          <w:rPr>
            <w:rFonts w:ascii="Cambria Math" w:hAnsi="Cambria Math"/>
          </w:rPr>
          <m:t xml:space="preserve">1000</m:t>
        </m:r>
        <m:r>
          <w:rPr>
            <w:rFonts w:ascii="Cambria Math" w:hAnsi="Cambria Math"/>
          </w:rPr>
          <m:t xml:space="preserve">words</m:t>
        </m:r>
      </m:oMath>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When generating the characters for training in a machine learning algorithm, use a uniformly distributed random number generator, and partition the interval (0, 1) into lengths of the probability we compute in the table below.  When the number occurs within the interval, we generate the character that goes with that interval.</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The total number of characters per 1000 words is:</w:t>
      </w:r>
    </w:p>
    <w:p>
      <w:pPr>
        <w:pStyle w:val="Normal"/>
        <w:jc w:val="left"/>
        <w:rPr/>
      </w:pPr>
      <w:r>
        <w:rPr/>
      </w:r>
      <m:oMathPara xmlns:m="http://schemas.openxmlformats.org/officeDocument/2006/math">
        <m:oMathParaPr>
          <m:jc m:val="left"/>
        </m:oMathParaPr>
        <m:oMath>
          <m:r>
            <w:rPr>
              <w:rFonts w:ascii="Cambria Math" w:hAnsi="Cambria Math"/>
            </w:rPr>
            <m:t xml:space="preserve">ncptw</m:t>
          </m:r>
          <m:r>
            <w:rPr>
              <w:rFonts w:ascii="Cambria Math" w:hAnsi="Cambria Math"/>
            </w:rPr>
            <m:t xml:space="preserve">=</m:t>
          </m:r>
          <m:r>
            <w:rPr>
              <w:rFonts w:ascii="Cambria Math" w:hAnsi="Cambria Math"/>
            </w:rPr>
            <m:t xml:space="preserve">1000</m:t>
          </m:r>
          <m:r>
            <w:rPr>
              <w:rFonts w:ascii="Cambria Math" w:hAnsi="Cambria Math"/>
            </w:rPr>
            <m:t xml:space="preserve">words</m:t>
          </m:r>
          <m:d>
            <m:dPr>
              <m:begChr m:val="("/>
              <m:endChr m:val=")"/>
            </m:dPr>
            <m:e>
              <m:d>
                <m:dPr>
                  <m:begChr m:val="("/>
                  <m:endChr m:val=")"/>
                </m:dPr>
                <m:e>
                  <m:r>
                    <w:rPr>
                      <w:rFonts w:ascii="Cambria Math" w:hAnsi="Cambria Math"/>
                    </w:rPr>
                    <m:t xml:space="preserve">4.5</m:t>
                  </m:r>
                  <m:r>
                    <w:rPr>
                      <w:rFonts w:ascii="Cambria Math" w:hAnsi="Cambria Math"/>
                    </w:rPr>
                    <m:t xml:space="preserve">+</m:t>
                  </m:r>
                  <m:r>
                    <w:rPr>
                      <w:rFonts w:ascii="Cambria Math" w:hAnsi="Cambria Math"/>
                    </w:rPr>
                    <m:t xml:space="preserve">1</m:t>
                  </m:r>
                </m:e>
              </m:d>
              <m:f>
                <m:fPr>
                  <m:type m:val="lin"/>
                </m:fPr>
                <m:num>
                  <m:r>
                    <w:rPr>
                      <w:rFonts w:ascii="Cambria Math" w:hAnsi="Cambria Math"/>
                    </w:rPr>
                    <m:t xml:space="preserve">letters</m:t>
                  </m:r>
                </m:num>
                <m:den>
                  <m:r>
                    <w:rPr>
                      <w:rFonts w:ascii="Cambria Math" w:hAnsi="Cambria Math"/>
                    </w:rPr>
                    <m:t xml:space="preserve">word</m:t>
                  </m:r>
                </m:den>
              </m:f>
            </m:e>
          </m:d>
          <m:r>
            <w:rPr>
              <w:rFonts w:ascii="Cambria Math" w:hAnsi="Cambria Math"/>
            </w:rPr>
            <m:t xml:space="preserve">+</m:t>
          </m:r>
          <m:d>
            <m:dPr>
              <m:begChr m:val="("/>
              <m:endChr m:val=")"/>
            </m:dPr>
            <m:e>
              <m:r>
                <w:rPr>
                  <w:rFonts w:ascii="Cambria Math" w:hAnsi="Cambria Math"/>
                </w:rPr>
                <m:t xml:space="preserve">50</m:t>
              </m:r>
              <m:r>
                <w:rPr>
                  <w:rFonts w:ascii="Cambria Math" w:hAnsi="Cambria Math"/>
                </w:rPr>
                <m:t xml:space="preserve">+</m:t>
              </m:r>
              <m:r>
                <w:rPr>
                  <w:rFonts w:ascii="Cambria Math" w:hAnsi="Cambria Math"/>
                </w:rPr>
                <m:t xml:space="preserve">40</m:t>
              </m:r>
              <m:r>
                <w:rPr>
                  <w:rFonts w:ascii="Cambria Math" w:hAnsi="Cambria Math"/>
                </w:rPr>
                <m:t xml:space="preserve">+</m:t>
              </m:r>
              <m:r>
                <w:rPr>
                  <w:rFonts w:ascii="Cambria Math" w:hAnsi="Cambria Math"/>
                </w:rPr>
                <m:t xml:space="preserve">20</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160</m:t>
              </m:r>
              <m:r>
                <w:rPr>
                  <w:rFonts w:ascii="Cambria Math" w:hAnsi="Cambria Math"/>
                </w:rPr>
                <m:t xml:space="preserve">+</m:t>
              </m:r>
              <m:r>
                <w:rPr>
                  <w:rFonts w:ascii="Cambria Math" w:hAnsi="Cambria Math"/>
                </w:rPr>
                <m:t xml:space="preserve">40</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2</m:t>
              </m:r>
            </m:e>
          </m:d>
          <m:r>
            <w:rPr>
              <w:rFonts w:ascii="Cambria Math" w:hAnsi="Cambria Math"/>
            </w:rPr>
            <m:t xml:space="preserve">characters</m:t>
          </m:r>
          <m:r>
            <w:rPr>
              <w:rFonts w:ascii="Cambria Math" w:hAnsi="Cambria Math"/>
            </w:rPr>
            <m:t xml:space="preserve">=</m:t>
          </m:r>
          <m:r>
            <w:rPr>
              <w:rFonts w:ascii="Cambria Math" w:hAnsi="Cambria Math"/>
            </w:rPr>
            <m:t xml:space="preserve">5820</m:t>
          </m:r>
          <m:r>
            <w:rPr>
              <w:rFonts w:ascii="Cambria Math" w:hAnsi="Cambria Math"/>
            </w:rPr>
            <m:t xml:space="preserve">characters</m:t>
          </m:r>
        </m:oMath>
      </m:oMathPara>
    </w:p>
    <w:p>
      <w:pPr>
        <w:pStyle w:val="Normal"/>
        <w:jc w:val="left"/>
        <w:rPr>
          <w:b w:val="false"/>
          <w:b w:val="false"/>
          <w:bCs w:val="false"/>
        </w:rPr>
      </w:pPr>
      <w:r>
        <w:rPr>
          <w:b w:val="false"/>
          <w:bCs w:val="false"/>
        </w:rPr>
        <w:t>For those characters we have the frequency per 1000 words, the probability is:</w:t>
      </w:r>
    </w:p>
    <w:p>
      <w:pPr>
        <w:pStyle w:val="Normal"/>
        <w:jc w:val="left"/>
        <w:rPr/>
      </w:pPr>
      <w:r>
        <w:rPr/>
      </w:r>
      <m:oMathPara xmlns:m="http://schemas.openxmlformats.org/officeDocument/2006/math">
        <m:oMathParaPr>
          <m:jc m:val="left"/>
        </m:oMathParaPr>
        <m:oMath>
          <m:r>
            <w:rPr>
              <w:rFonts w:ascii="Cambria Math" w:hAnsi="Cambria Math"/>
            </w:rPr>
            <m:t xml:space="preserve">P</m:t>
          </m:r>
          <m:d>
            <m:dPr>
              <m:begChr m:val="("/>
              <m:endChr m:val=")"/>
            </m:dPr>
            <m:e>
              <m:r>
                <w:rPr>
                  <w:rFonts w:ascii="Cambria Math" w:hAnsi="Cambria Math"/>
                </w:rPr>
                <m:t xml:space="preserve">character</m:t>
              </m:r>
            </m:e>
          </m:d>
          <m:r>
            <w:rPr>
              <w:rFonts w:ascii="Cambria Math" w:hAnsi="Cambria Math"/>
            </w:rPr>
            <m:t xml:space="preserve">=</m:t>
          </m:r>
          <m:r>
            <w:rPr>
              <w:rFonts w:ascii="Cambria Math" w:hAnsi="Cambria Math"/>
            </w:rPr>
            <m:t xml:space="preserve">character</m:t>
          </m:r>
          <m:r>
            <w:rPr>
              <w:rFonts w:ascii="Cambria Math" w:hAnsi="Cambria Math"/>
            </w:rPr>
            <m:t xml:space="preserve">frequency</m:t>
          </m:r>
          <m:r>
            <w:rPr>
              <w:rFonts w:ascii="Cambria Math" w:hAnsi="Cambria Math"/>
            </w:rPr>
            <m:t xml:space="preserve">∈</m:t>
          </m:r>
          <m:r>
            <w:rPr>
              <w:rFonts w:ascii="Cambria Math" w:hAnsi="Cambria Math"/>
            </w:rPr>
            <m:t xml:space="preserve">1000</m:t>
          </m:r>
          <m:f>
            <m:fPr>
              <m:type m:val="lin"/>
            </m:fPr>
            <m:num>
              <m:r>
                <w:rPr>
                  <w:rFonts w:ascii="Cambria Math" w:hAnsi="Cambria Math"/>
                </w:rPr>
                <m:t xml:space="preserve">words</m:t>
              </m:r>
            </m:num>
            <m:den>
              <m:r>
                <w:rPr>
                  <w:rFonts w:ascii="Cambria Math" w:hAnsi="Cambria Math"/>
                </w:rPr>
                <m:t xml:space="preserve">ncptw</m:t>
              </m:r>
            </m:den>
          </m:f>
        </m:oMath>
      </m:oMathPara>
    </w:p>
    <w:p>
      <w:pPr>
        <w:pStyle w:val="Normal"/>
        <w:jc w:val="left"/>
        <w:rPr>
          <w:b w:val="false"/>
          <w:b w:val="false"/>
          <w:bCs w:val="false"/>
        </w:rPr>
      </w:pPr>
      <w:r>
        <w:rPr>
          <w:b w:val="false"/>
          <w:bCs w:val="false"/>
        </w:rPr>
        <w:t>For the letters the probability is:</w:t>
      </w:r>
    </w:p>
    <w:p>
      <w:pPr>
        <w:pStyle w:val="Normal"/>
        <w:jc w:val="left"/>
        <w:rPr/>
      </w:pPr>
      <w:r>
        <w:rPr/>
      </w:r>
      <m:oMathPara xmlns:m="http://schemas.openxmlformats.org/officeDocument/2006/math">
        <m:oMathParaPr>
          <m:jc m:val="left"/>
        </m:oMathParaPr>
        <m:oMath>
          <m:r>
            <w:rPr>
              <w:rFonts w:ascii="Cambria Math" w:hAnsi="Cambria Math"/>
            </w:rPr>
            <m:t xml:space="preserve">P</m:t>
          </m:r>
          <m:d>
            <m:dPr>
              <m:begChr m:val="("/>
              <m:endChr m:val=")"/>
            </m:dPr>
            <m:e>
              <m:r>
                <w:rPr>
                  <w:rFonts w:ascii="Cambria Math" w:hAnsi="Cambria Math"/>
                </w:rPr>
                <m:t xml:space="preserve">character</m:t>
              </m:r>
            </m:e>
          </m:d>
          <m:r>
            <w:rPr>
              <w:rFonts w:ascii="Cambria Math" w:hAnsi="Cambria Math"/>
            </w:rPr>
            <m:t xml:space="preserve">=</m:t>
          </m:r>
          <m:r>
            <w:rPr>
              <w:rFonts w:ascii="Cambria Math" w:hAnsi="Cambria Math"/>
            </w:rPr>
            <m:t xml:space="preserve">P</m:t>
          </m:r>
          <m:f>
            <m:fPr>
              <m:type m:val="lin"/>
            </m:fPr>
            <m:num>
              <m:d>
                <m:dPr>
                  <m:begChr m:val="("/>
                  <m:endChr m:val=")"/>
                </m:dPr>
                <m:e>
                  <m:r>
                    <w:rPr>
                      <w:rFonts w:ascii="Cambria Math" w:hAnsi="Cambria Math"/>
                    </w:rPr>
                    <m:t xml:space="preserve">letter</m:t>
                  </m:r>
                </m:e>
              </m:d>
              <m:r>
                <w:rPr>
                  <w:rFonts w:ascii="Cambria Math" w:hAnsi="Cambria Math"/>
                </w:rPr>
                <m:t xml:space="preserve">∗</m:t>
              </m:r>
              <m:r>
                <w:rPr>
                  <w:rFonts w:ascii="Cambria Math" w:hAnsi="Cambria Math"/>
                </w:rPr>
                <m:t xml:space="preserve">4.5</m:t>
              </m:r>
              <m:r>
                <w:rPr>
                  <w:rFonts w:ascii="Cambria Math" w:hAnsi="Cambria Math"/>
                </w:rPr>
                <m:t xml:space="preserve">∗</m:t>
              </m:r>
              <m:r>
                <w:rPr>
                  <w:rFonts w:ascii="Cambria Math" w:hAnsi="Cambria Math"/>
                </w:rPr>
                <m:t xml:space="preserve">1000</m:t>
              </m:r>
            </m:num>
            <m:den>
              <m:r>
                <w:rPr>
                  <w:rFonts w:ascii="Cambria Math" w:hAnsi="Cambria Math"/>
                </w:rPr>
                <m:t xml:space="preserve">ncptw</m:t>
              </m:r>
            </m:den>
          </m:f>
        </m:oMath>
      </m:oMathPara>
    </w:p>
    <w:p>
      <w:pPr>
        <w:pStyle w:val="Normal"/>
        <w:jc w:val="left"/>
        <w:rPr>
          <w:b w:val="false"/>
          <w:b w:val="false"/>
          <w:bCs w:val="false"/>
        </w:rPr>
      </w:pPr>
      <w:r>
        <w:rPr>
          <w:b w:val="false"/>
          <w:bCs w:val="false"/>
        </w:rPr>
        <w:t>For the space:</w:t>
      </w:r>
    </w:p>
    <w:p>
      <w:pPr>
        <w:pStyle w:val="Normal"/>
        <w:jc w:val="left"/>
        <w:rPr/>
      </w:pPr>
      <w:r>
        <w:rPr/>
      </w:r>
      <m:oMathPara xmlns:m="http://schemas.openxmlformats.org/officeDocument/2006/math">
        <m:oMathParaPr>
          <m:jc m:val="left"/>
        </m:oMathParaPr>
        <m:oMath>
          <m:r>
            <w:rPr>
              <w:rFonts w:ascii="Cambria Math" w:hAnsi="Cambria Math"/>
            </w:rPr>
            <m:t xml:space="preserve">P</m:t>
          </m:r>
          <m:d>
            <m:dPr>
              <m:begChr m:val="("/>
              <m:endChr m:val=")"/>
            </m:dPr>
            <m:e>
              <m:r>
                <w:rPr>
                  <w:rFonts w:ascii="Cambria Math" w:hAnsi="Cambria Math"/>
                </w:rPr>
                <m:t xml:space="preserve">space</m:t>
              </m:r>
            </m:e>
          </m:d>
          <m:r>
            <w:rPr>
              <w:rFonts w:ascii="Cambria Math" w:hAnsi="Cambria Math"/>
            </w:rPr>
            <m:t xml:space="preserve">=</m:t>
          </m:r>
          <m:r>
            <w:rPr>
              <w:rFonts w:ascii="Cambria Math" w:hAnsi="Cambria Math"/>
            </w:rPr>
            <m:t xml:space="preserve">1000</m:t>
          </m:r>
          <m:f>
            <m:fPr>
              <m:type m:val="lin"/>
            </m:fPr>
            <m:num>
              <m:d>
                <m:dPr>
                  <m:begChr m:val="("/>
                  <m:endChr m:val=")"/>
                </m:dPr>
                <m:e>
                  <m:f>
                    <m:fPr>
                      <m:type m:val="lin"/>
                    </m:fPr>
                    <m:num>
                      <m:r>
                        <w:rPr>
                          <w:rFonts w:ascii="Cambria Math" w:hAnsi="Cambria Math"/>
                        </w:rPr>
                        <m:t xml:space="preserve">spaces</m:t>
                      </m:r>
                    </m:num>
                    <m:den>
                      <m:r>
                        <w:rPr>
                          <w:rFonts w:ascii="Cambria Math" w:hAnsi="Cambria Math"/>
                        </w:rPr>
                        <m:t xml:space="preserve">1000</m:t>
                      </m:r>
                    </m:den>
                  </m:f>
                  <m:r>
                    <w:rPr>
                      <w:rFonts w:ascii="Cambria Math" w:hAnsi="Cambria Math"/>
                    </w:rPr>
                    <m:t xml:space="preserve">words</m:t>
                  </m:r>
                </m:e>
              </m:d>
            </m:num>
            <m:den>
              <m:r>
                <w:rPr>
                  <w:rFonts w:ascii="Cambria Math" w:hAnsi="Cambria Math"/>
                </w:rPr>
                <m:t xml:space="preserve">ncptw</m:t>
              </m:r>
            </m:den>
          </m:f>
        </m:oMath>
      </m:oMathPara>
    </w:p>
    <w:p>
      <w:pPr>
        <w:pStyle w:val="Normal"/>
        <w:jc w:val="left"/>
        <w:rPr>
          <w:b w:val="false"/>
          <w:b w:val="false"/>
          <w:bCs w:val="false"/>
        </w:rPr>
      </w:pPr>
      <w:r>
        <w:rPr>
          <w:b w:val="false"/>
          <w:bCs w:val="false"/>
        </w:rPr>
        <w:t>These are used to compute the following table.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object w:dxaOrig="8960" w:dyaOrig="6913">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position:absolute;margin-left:39.65pt;margin-top:7.9pt;width:448.35pt;height:360.5pt;mso-position-horizontal-relative:text;mso-position-vertical-relative:text" filled="f" o:ole="">
            <v:imagedata r:id="rId10" o:title=""/>
            <w10:wrap type="square" side="largest"/>
          </v:shape>
          <o:OLEObject Type="Embed" ProgID="Excel.Sheet.12" ShapeID="ole_rId9" DrawAspect="Content" ObjectID="_1473468037" r:id="rId9"/>
        </w:objec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These values can be recalculated using the Letter Probabilities spreadsheet</w:t>
      </w:r>
      <w:r>
        <w:rPr>
          <w:b w:val="false"/>
          <w:bCs w:val="false"/>
        </w:rPr>
        <w:t xml:space="preserve">.  The probability of each character is given by the P(character) column, and the acpw stands for “Average Characters per Thousand Words”, and ncptw stands for “Net Characters per Thousand Words.”  The column before the P(character) is the estimate of number of characters per thousand words </w:t>
      </w:r>
      <w:r>
        <w:rPr>
          <w:b w:val="false"/>
          <w:bCs w:val="false"/>
        </w:rPr>
        <w:t>for the symbol.  The value after the ncptw is the total probability as a check.</w:t>
      </w:r>
      <w:r>
        <w:rPr>
          <w:b w:val="false"/>
          <w:bCs w:val="false"/>
        </w:rPr>
        <w:tab/>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pPr>
      <w:r>
        <w:rPr/>
      </w:r>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web.wallawalla.edu/~frohro//CW-Robot/Matched Filter MAP Detector Paper.pdf" TargetMode="External"/><Relationship Id="rId3" Type="http://schemas.openxmlformats.org/officeDocument/2006/relationships/hyperlink" Target="http://cs.wellesley.edu/~fturbak/codman/letterfreq.html" TargetMode="External"/><Relationship Id="rId4" Type="http://schemas.openxmlformats.org/officeDocument/2006/relationships/image" Target="media/image1.png"/><Relationship Id="rId5" Type="http://schemas.openxmlformats.org/officeDocument/2006/relationships/hyperlink" Target="https://www.researchgate.net/publication/230764201_Average_word_length_dynamics_as_indicator_of_cultural_changes_in_society" TargetMode="External"/><Relationship Id="rId6" Type="http://schemas.openxmlformats.org/officeDocument/2006/relationships/hyperlink" Target="https://www3.nd.edu/~busiforc/handouts/cryptography/letterfrequencies.html" TargetMode="External"/><Relationship Id="rId7" Type="http://schemas.openxmlformats.org/officeDocument/2006/relationships/image" Target="media/image2.png"/><Relationship Id="rId8" Type="http://schemas.openxmlformats.org/officeDocument/2006/relationships/hyperlink" Target="https://en.wikipedia.org/wiki/Prosigns_for_Morse_code" TargetMode="External"/><Relationship Id="rId9" Type="http://schemas.openxmlformats.org/officeDocument/2006/relationships/package" Target="embeddings/oleObject1.xlsx"/><Relationship Id="rId10" Type="http://schemas.openxmlformats.org/officeDocument/2006/relationships/image" Target="media/image3.emf"/><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629</TotalTime>
  <Application>LibreOffice/7.2.5.2$Linux_X86_64 LibreOffice_project/20$Build-2</Application>
  <AppVersion>15.0000</AppVersion>
  <Pages>3</Pages>
  <Words>732</Words>
  <Characters>3544</Characters>
  <CharactersWithSpaces>4266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2021-12-07T11:38:01Z</dcterms:created>
  <dc:creator>Rob Frohne</dc:creator>
  <dc:description/>
  <dc:language>en-US</dc:language>
  <cp:lastModifiedBy>Rob Frohne</cp:lastModifiedBy>
  <dcterms:modified xsi:type="dcterms:W3CDTF">2022-02-04T11:53:59Z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